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A001" w14:textId="77777777" w:rsidR="00CD2DA1" w:rsidRDefault="00822DCE">
      <w:pPr>
        <w:pStyle w:val="Heading1"/>
        <w:spacing w:before="40"/>
        <w:ind w:right="1699"/>
        <w:jc w:val="center"/>
        <w:rPr>
          <w:b w:val="0"/>
          <w:bCs w:val="0"/>
        </w:rPr>
      </w:pPr>
      <w:r>
        <w:t>Funciones de participación en ensayos clínicos sobre el síndrome nefrótico</w:t>
      </w:r>
    </w:p>
    <w:p w14:paraId="793E036D" w14:textId="77777777" w:rsidR="00CD2DA1" w:rsidRDefault="00CD2DA1">
      <w:pPr>
        <w:spacing w:before="6"/>
        <w:rPr>
          <w:rFonts w:ascii="Calibri" w:eastAsia="Calibri" w:hAnsi="Calibri" w:cs="Calibri"/>
          <w:b/>
          <w:bCs/>
          <w:sz w:val="25"/>
          <w:szCs w:val="25"/>
        </w:rPr>
      </w:pPr>
    </w:p>
    <w:p w14:paraId="5B166E39" w14:textId="77777777" w:rsidR="00CD2DA1" w:rsidRDefault="00822DCE">
      <w:pPr>
        <w:ind w:left="1699" w:right="1699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Gu</w:t>
      </w:r>
      <w:r>
        <w:rPr>
          <w:rFonts w:ascii="Calibri"/>
          <w:b/>
        </w:rPr>
        <w:t>í</w:t>
      </w:r>
      <w:r>
        <w:rPr>
          <w:rFonts w:ascii="Calibri"/>
          <w:b/>
        </w:rPr>
        <w:t>a de relaciones</w:t>
      </w:r>
    </w:p>
    <w:p w14:paraId="068F63D7" w14:textId="77777777" w:rsidR="00CD2DA1" w:rsidRDefault="00822DCE">
      <w:pPr>
        <w:spacing w:before="21"/>
        <w:ind w:left="1746" w:right="1699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Entre el paciente, el nefr</w:t>
      </w:r>
      <w:r>
        <w:rPr>
          <w:rFonts w:ascii="Calibri"/>
          <w:b/>
        </w:rPr>
        <w:t>ó</w:t>
      </w:r>
      <w:r>
        <w:rPr>
          <w:rFonts w:ascii="Calibri"/>
          <w:b/>
        </w:rPr>
        <w:t>logo principal y el nefr</w:t>
      </w:r>
      <w:r>
        <w:rPr>
          <w:rFonts w:ascii="Calibri"/>
          <w:b/>
        </w:rPr>
        <w:t>ó</w:t>
      </w:r>
      <w:r>
        <w:rPr>
          <w:rFonts w:ascii="Calibri"/>
          <w:b/>
        </w:rPr>
        <w:t>logo que realiza ensayos cl</w:t>
      </w:r>
      <w:r>
        <w:rPr>
          <w:rFonts w:ascii="Calibri"/>
          <w:b/>
        </w:rPr>
        <w:t>í</w:t>
      </w:r>
      <w:r>
        <w:rPr>
          <w:rFonts w:ascii="Calibri"/>
          <w:b/>
        </w:rPr>
        <w:t>nicos</w:t>
      </w:r>
    </w:p>
    <w:p w14:paraId="45F5EE7F" w14:textId="77777777" w:rsidR="00CD2DA1" w:rsidRDefault="00CD2DA1">
      <w:pPr>
        <w:spacing w:before="6"/>
        <w:rPr>
          <w:rFonts w:ascii="Calibri" w:eastAsia="Calibri" w:hAnsi="Calibri" w:cs="Calibri"/>
          <w:b/>
          <w:bCs/>
          <w:sz w:val="25"/>
          <w:szCs w:val="25"/>
        </w:rPr>
      </w:pPr>
    </w:p>
    <w:p w14:paraId="06CB4B3E" w14:textId="77777777" w:rsidR="00CD2DA1" w:rsidRDefault="00822DCE">
      <w:pPr>
        <w:pStyle w:val="BodyText"/>
        <w:spacing w:line="258" w:lineRule="auto"/>
        <w:ind w:right="444"/>
        <w:rPr>
          <w:i w:val="0"/>
        </w:rPr>
      </w:pPr>
      <w:r>
        <w:t>El avance de nuevas terapias para tratar enfermedades debilitantes raras requiere la participación de pacientes en ensayos clínicos para demostrar el efecto de estos age</w:t>
      </w:r>
      <w:r>
        <w:t>ntes. A menudo, estos ensayos representan el único acceso a agentes en investigación que pueden resultar en una mejoría de la enfermedad (aunque nunca asegurada). Este memorando de entendimiento proporciona cierta claridad con respecto a las funciones impo</w:t>
      </w:r>
      <w:r>
        <w:t>rtantes de quienes participan en un ensayo clínico sobre el síndrome nefrótico. El cumplimiento de los roles sugeridos ayuda a garantizar que todas las partes estén bien informadas, trabajen en colaboración, compartan aprendizajes valiosos y tengan una exp</w:t>
      </w:r>
      <w:r>
        <w:t>eriencia positiva en general de participación en ensayos clínicos.</w:t>
      </w:r>
    </w:p>
    <w:p w14:paraId="4012397A" w14:textId="77777777" w:rsidR="00CD2DA1" w:rsidRDefault="00CD2DA1">
      <w:pPr>
        <w:spacing w:before="9"/>
        <w:rPr>
          <w:rFonts w:ascii="Calibri" w:eastAsia="Calibri" w:hAnsi="Calibri" w:cs="Calibri"/>
          <w:i/>
          <w:sz w:val="23"/>
          <w:szCs w:val="23"/>
        </w:rPr>
      </w:pPr>
    </w:p>
    <w:p w14:paraId="1633E0C1" w14:textId="77777777" w:rsidR="00CD2DA1" w:rsidRDefault="00822DCE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pict w14:anchorId="77D3E750">
          <v:group id="_x0000_s1060" style="width:481.1pt;height:165.35pt;mso-position-horizontal-relative:char;mso-position-vertical-relative:line" coordsize="9622,3307">
            <v:group id="_x0000_s1075" style="position:absolute;left:12;top:6;width:9598;height:2" coordorigin="12,6" coordsize="9598,2">
              <v:shape id="_x0000_s1076" style="position:absolute;left:12;top:6;width:9598;height:2" coordorigin="12,6" coordsize="9598,0" path="m12,6r9597,e" filled="f" strokeweight=".58pt">
                <v:path arrowok="t"/>
              </v:shape>
            </v:group>
            <v:group id="_x0000_s1073" style="position:absolute;left:12;top:349;width:9598;height:2" coordorigin="12,349" coordsize="9598,2">
              <v:shape id="_x0000_s1074" style="position:absolute;left:12;top:349;width:9598;height:2" coordorigin="12,349" coordsize="9598,0" path="m12,349r9597,e" filled="f" strokeweight=".41664mm">
                <v:path arrowok="t"/>
              </v:shape>
            </v:group>
            <v:group id="_x0000_s1071" style="position:absolute;left:17;top:11;width:2;height:328" coordorigin="17,11" coordsize="2,328">
              <v:shape id="_x0000_s1072" style="position:absolute;left:17;top:11;width:2;height:328" coordorigin="17,11" coordsize="0,328" path="m17,11r,327e" filled="f" strokeweight=".58pt">
                <v:path arrowok="t"/>
              </v:shape>
            </v:group>
            <v:group id="_x0000_s1069" style="position:absolute;left:9605;top:11;width:2;height:3286" coordorigin="9605,11" coordsize="2,3286">
              <v:shape id="_x0000_s1070" style="position:absolute;left:9605;top:11;width:2;height:3286" coordorigin="9605,11" coordsize="0,3286" path="m9605,11r,3285e" filled="f" strokeweight=".58pt">
                <v:path arrowok="t"/>
              </v:shape>
            </v:group>
            <v:group id="_x0000_s1067" style="position:absolute;left:111;top:355;width:9489;height:2" coordorigin="111,355" coordsize="9489,2">
              <v:shape id="_x0000_s1068" style="position:absolute;left:111;top:355;width:9489;height:2" coordorigin="111,355" coordsize="9489,0" path="m111,355r9489,e" filled="f" strokeweight=".58pt">
                <v:path arrowok="t"/>
              </v:shape>
            </v:group>
            <v:group id="_x0000_s1065" style="position:absolute;left:116;top:360;width:2;height:2937" coordorigin="116,360" coordsize="2,2937">
              <v:shape id="_x0000_s1066" style="position:absolute;left:116;top:360;width:2;height:2937" coordorigin="116,360" coordsize="0,2937" path="m116,360r,2936e" filled="f" strokeweight=".20497mm">
                <v:path arrowok="t"/>
              </v:shape>
            </v:group>
            <v:group id="_x0000_s1061" style="position:absolute;left:111;top:3301;width:9498;height:2" coordorigin="111,3301" coordsize="9498,2">
              <v:shape id="_x0000_s1064" style="position:absolute;left:111;top:3301;width:9498;height:2" coordorigin="111,3301" coordsize="9498,0" path="m111,3301r9498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left:17;top:6;width:9588;height:344" filled="f" stroked="f">
                <v:textbox inset="0,0,0,0">
                  <w:txbxContent>
                    <w:p w14:paraId="4CF7CF95" w14:textId="77777777" w:rsidR="00CD2DA1" w:rsidRDefault="00822DCE">
                      <w:pPr>
                        <w:spacing w:before="24"/>
                        <w:ind w:left="11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Nefr</w:t>
                      </w:r>
                      <w:r>
                        <w:rPr>
                          <w:rFonts w:ascii="Calibri"/>
                          <w:b/>
                        </w:rPr>
                        <w:t>ó</w:t>
                      </w:r>
                      <w:r>
                        <w:rPr>
                          <w:rFonts w:ascii="Calibri"/>
                          <w:b/>
                        </w:rPr>
                        <w:t>logo principal (NP)</w:t>
                      </w:r>
                    </w:p>
                  </w:txbxContent>
                </v:textbox>
              </v:shape>
              <v:shape id="_x0000_s1062" type="#_x0000_t202" style="position:absolute;left:116;top:349;width:9489;height:2952" filled="f" stroked="f">
                <v:textbox inset="0,0,0,0">
                  <w:txbxContent>
                    <w:p w14:paraId="0439AE31" w14:textId="77777777" w:rsidR="00CD2DA1" w:rsidRDefault="00822DC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74"/>
                        </w:tabs>
                        <w:spacing w:before="30" w:line="258" w:lineRule="auto"/>
                        <w:ind w:right="33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Desempeña el papel central de "mariscal de campo" en la coordinación de la atención: fomenta las derivaciones adecuadas de pacientes para la de</w:t>
                      </w:r>
                      <w:r>
                        <w:rPr>
                          <w:rFonts w:ascii="Calibri" w:hAnsi="Calibri"/>
                        </w:rPr>
                        <w:t>tección y la inscripción en los ensayos para los que pueden ser elegibles, toma una decisión final compartida con el paciente sobre si debe inscribirse en un ensayo clínico después de la información/detección inicial.</w:t>
                      </w:r>
                    </w:p>
                    <w:p w14:paraId="33DC361D" w14:textId="77777777" w:rsidR="00CD2DA1" w:rsidRDefault="00822DC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74"/>
                        </w:tabs>
                        <w:ind w:left="473" w:hanging="35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Trabaja con el proveedor de seguros/at</w:t>
                      </w:r>
                      <w:r>
                        <w:rPr>
                          <w:rFonts w:ascii="Calibri"/>
                        </w:rPr>
                        <w:t>enci</w:t>
                      </w:r>
                      <w:r>
                        <w:rPr>
                          <w:rFonts w:ascii="Calibri"/>
                        </w:rPr>
                        <w:t>ó</w:t>
                      </w:r>
                      <w:r>
                        <w:rPr>
                          <w:rFonts w:ascii="Calibri"/>
                        </w:rPr>
                        <w:t>n administrada.</w:t>
                      </w:r>
                    </w:p>
                    <w:p w14:paraId="2214C5BD" w14:textId="77777777" w:rsidR="00CD2DA1" w:rsidRDefault="00822DC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74"/>
                        </w:tabs>
                        <w:spacing w:before="20"/>
                        <w:ind w:left="473" w:hanging="35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Proporciona datos de laboratorio y otros datos de pacientes necesarios al investigador cl</w:t>
                      </w:r>
                      <w:r>
                        <w:rPr>
                          <w:rFonts w:ascii="Calibri"/>
                        </w:rPr>
                        <w:t>í</w:t>
                      </w:r>
                      <w:r>
                        <w:rPr>
                          <w:rFonts w:ascii="Calibri"/>
                        </w:rPr>
                        <w:t>nico.</w:t>
                      </w:r>
                    </w:p>
                    <w:p w14:paraId="11F296EA" w14:textId="77777777" w:rsidR="00CD2DA1" w:rsidRDefault="00822DC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74"/>
                        </w:tabs>
                        <w:spacing w:before="22" w:line="258" w:lineRule="auto"/>
                        <w:ind w:right="243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Se integra estrechamente con el investigador clínico: notifica al equipo del estudio sobre los posibles cambios en la medicación y el estado clínico, comparte las inquietudes clínicas/de seguridad con respecto a la condición del paciente con el investigado</w:t>
                      </w:r>
                      <w:r>
                        <w:rPr>
                          <w:rFonts w:ascii="Calibri" w:hAnsi="Calibri"/>
                        </w:rPr>
                        <w:t>r clínico y toma una decisión compartida con el paciente para continuar participando en el ensayo clínico.</w:t>
                      </w:r>
                    </w:p>
                    <w:p w14:paraId="22944BC7" w14:textId="77777777" w:rsidR="00CD2DA1" w:rsidRDefault="00822DC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74"/>
                        </w:tabs>
                        <w:spacing w:line="259" w:lineRule="auto"/>
                        <w:ind w:right="53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Reanuda la atenci</w:t>
                      </w:r>
                      <w:r>
                        <w:rPr>
                          <w:rFonts w:ascii="Calibri"/>
                        </w:rPr>
                        <w:t>ó</w:t>
                      </w:r>
                      <w:r>
                        <w:rPr>
                          <w:rFonts w:ascii="Calibri"/>
                        </w:rPr>
                        <w:t>n completa del paciente una vez que se completa el ensayo o se alcanza el punto final de participaci</w:t>
                      </w:r>
                      <w:r>
                        <w:rPr>
                          <w:rFonts w:ascii="Calibri"/>
                        </w:rPr>
                        <w:t>ó</w:t>
                      </w:r>
                      <w:r>
                        <w:rPr>
                          <w:rFonts w:ascii="Calibri"/>
                        </w:rPr>
                        <w:t xml:space="preserve">n completa (ESRD que requiere </w:t>
                      </w:r>
                      <w:r>
                        <w:rPr>
                          <w:rFonts w:ascii="Calibri"/>
                        </w:rPr>
                        <w:t>di</w:t>
                      </w:r>
                      <w:r>
                        <w:rPr>
                          <w:rFonts w:ascii="Calibri"/>
                        </w:rPr>
                        <w:t>á</w:t>
                      </w:r>
                      <w:r>
                        <w:rPr>
                          <w:rFonts w:ascii="Calibri"/>
                        </w:rPr>
                        <w:t>lisis)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F420103" w14:textId="77777777" w:rsidR="00CD2DA1" w:rsidRDefault="00CD2DA1">
      <w:pPr>
        <w:spacing w:before="10"/>
        <w:rPr>
          <w:rFonts w:ascii="Calibri" w:eastAsia="Calibri" w:hAnsi="Calibri" w:cs="Calibri"/>
          <w:i/>
          <w:sz w:val="23"/>
          <w:szCs w:val="23"/>
        </w:rPr>
      </w:pPr>
    </w:p>
    <w:p w14:paraId="022DB313" w14:textId="77777777" w:rsidR="00CD2DA1" w:rsidRDefault="00822DCE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pict w14:anchorId="0967C1A9">
          <v:group id="_x0000_s1043" style="width:481.1pt;height:194.35pt;mso-position-horizontal-relative:char;mso-position-vertical-relative:line" coordsize="9622,3887">
            <v:group id="_x0000_s1058" style="position:absolute;left:12;top:6;width:9598;height:2" coordorigin="12,6" coordsize="9598,2">
              <v:shape id="_x0000_s1059" style="position:absolute;left:12;top:6;width:9598;height:2" coordorigin="12,6" coordsize="9598,0" path="m12,6r9597,e" filled="f" strokeweight=".58pt">
                <v:path arrowok="t"/>
              </v:shape>
            </v:group>
            <v:group id="_x0000_s1056" style="position:absolute;left:12;top:349;width:9598;height:2" coordorigin="12,349" coordsize="9598,2">
              <v:shape id="_x0000_s1057" style="position:absolute;left:12;top:349;width:9598;height:2" coordorigin="12,349" coordsize="9598,0" path="m12,349r9597,e" filled="f" strokeweight="1.18pt">
                <v:path arrowok="t"/>
              </v:shape>
            </v:group>
            <v:group id="_x0000_s1054" style="position:absolute;left:17;top:11;width:2;height:328" coordorigin="17,11" coordsize="2,328">
              <v:shape id="_x0000_s1055" style="position:absolute;left:17;top:11;width:2;height:328" coordorigin="17,11" coordsize="0,328" path="m17,11r,327e" filled="f" strokeweight=".58pt">
                <v:path arrowok="t"/>
              </v:shape>
            </v:group>
            <v:group id="_x0000_s1052" style="position:absolute;left:9605;top:11;width:2;height:3866" coordorigin="9605,11" coordsize="2,3866">
              <v:shape id="_x0000_s1053" style="position:absolute;left:9605;top:11;width:2;height:3866" coordorigin="9605,11" coordsize="0,3866" path="m9605,11r,3865e" filled="f" strokeweight=".58pt">
                <v:path arrowok="t"/>
              </v:shape>
            </v:group>
            <v:group id="_x0000_s1050" style="position:absolute;left:111;top:355;width:9489;height:2" coordorigin="111,355" coordsize="9489,2">
              <v:shape id="_x0000_s1051" style="position:absolute;left:111;top:355;width:9489;height:2" coordorigin="111,355" coordsize="9489,0" path="m111,355r9489,e" filled="f" strokeweight=".58pt">
                <v:path arrowok="t"/>
              </v:shape>
            </v:group>
            <v:group id="_x0000_s1048" style="position:absolute;left:116;top:360;width:2;height:3516" coordorigin="116,360" coordsize="2,3516">
              <v:shape id="_x0000_s1049" style="position:absolute;left:116;top:360;width:2;height:3516" coordorigin="116,360" coordsize="0,3516" path="m116,360r,3516e" filled="f" strokeweight=".20497mm">
                <v:path arrowok="t"/>
              </v:shape>
            </v:group>
            <v:group id="_x0000_s1044" style="position:absolute;left:111;top:3881;width:9498;height:2" coordorigin="111,3881" coordsize="9498,2">
              <v:shape id="_x0000_s1047" style="position:absolute;left:111;top:3881;width:9498;height:2" coordorigin="111,3881" coordsize="9498,0" path="m111,3881r9498,e" filled="f" strokeweight=".20497mm">
                <v:path arrowok="t"/>
              </v:shape>
              <v:shape id="_x0000_s1046" type="#_x0000_t202" style="position:absolute;left:17;top:6;width:9588;height:344" filled="f" stroked="f">
                <v:textbox inset="0,0,0,0">
                  <w:txbxContent>
                    <w:p w14:paraId="61F196AC" w14:textId="77777777" w:rsidR="00CD2DA1" w:rsidRDefault="00822DCE">
                      <w:pPr>
                        <w:spacing w:before="24"/>
                        <w:ind w:left="11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Nefr</w:t>
                      </w:r>
                      <w:r>
                        <w:rPr>
                          <w:rFonts w:ascii="Calibri"/>
                          <w:b/>
                        </w:rPr>
                        <w:t>ó</w:t>
                      </w:r>
                      <w:r>
                        <w:rPr>
                          <w:rFonts w:ascii="Calibri"/>
                          <w:b/>
                        </w:rPr>
                        <w:t>logo especialista en ensayos cl</w:t>
                      </w:r>
                      <w:r>
                        <w:rPr>
                          <w:rFonts w:ascii="Calibri"/>
                          <w:b/>
                        </w:rPr>
                        <w:t>í</w:t>
                      </w:r>
                      <w:r>
                        <w:rPr>
                          <w:rFonts w:ascii="Calibri"/>
                          <w:b/>
                        </w:rPr>
                        <w:t>nicos (CTN)</w:t>
                      </w:r>
                    </w:p>
                  </w:txbxContent>
                </v:textbox>
              </v:shape>
              <v:shape id="_x0000_s1045" type="#_x0000_t202" style="position:absolute;left:116;top:349;width:9489;height:3532" filled="f" stroked="f">
                <v:textbox inset="0,0,0,0">
                  <w:txbxContent>
                    <w:p w14:paraId="6586CBB0" w14:textId="77777777" w:rsidR="00CD2DA1" w:rsidRDefault="00822DC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4"/>
                        </w:tabs>
                        <w:spacing w:before="3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Sirve como punto de contacto para todos los asuntos relacionados con los estudios cl</w:t>
                      </w:r>
                      <w:r>
                        <w:rPr>
                          <w:rFonts w:ascii="Calibri"/>
                        </w:rPr>
                        <w:t>í</w:t>
                      </w:r>
                      <w:r>
                        <w:rPr>
                          <w:rFonts w:ascii="Calibri"/>
                        </w:rPr>
                        <w:t>nicos.</w:t>
                      </w:r>
                    </w:p>
                    <w:p w14:paraId="7F40FA32" w14:textId="77777777" w:rsidR="00CD2DA1" w:rsidRDefault="00822DC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4"/>
                        </w:tabs>
                        <w:spacing w:before="22"/>
                        <w:ind w:left="473" w:hanging="35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Interfaz principal con el patrocinador del ensayo, el IRB y el sitio del estudio.</w:t>
                      </w:r>
                    </w:p>
                    <w:p w14:paraId="7ACB5981" w14:textId="77777777" w:rsidR="00CD2DA1" w:rsidRDefault="00822DC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4"/>
                        </w:tabs>
                        <w:spacing w:before="20" w:line="259" w:lineRule="auto"/>
                        <w:ind w:right="64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Se integra estrechamente con el nefrólogo principal (proporciona actualizaciones s</w:t>
                      </w:r>
                      <w:r>
                        <w:rPr>
                          <w:rFonts w:ascii="Calibri" w:hAnsi="Calibri"/>
                        </w:rPr>
                        <w:t>obre la atención relacionada con el ensayo, incluido el envío de resultados de laboratorio central; informa al NP sobre oportunidades de ensayo para otros pacientes).</w:t>
                      </w:r>
                    </w:p>
                    <w:p w14:paraId="6635A81E" w14:textId="77777777" w:rsidR="00CD2DA1" w:rsidRDefault="00822DC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4"/>
                        </w:tabs>
                        <w:spacing w:line="259" w:lineRule="auto"/>
                        <w:ind w:right="37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Proporciona informaci</w:t>
                      </w:r>
                      <w:r>
                        <w:rPr>
                          <w:rFonts w:ascii="Calibri"/>
                        </w:rPr>
                        <w:t>ó</w:t>
                      </w:r>
                      <w:r>
                        <w:rPr>
                          <w:rFonts w:ascii="Calibri"/>
                        </w:rPr>
                        <w:t>n de contacto de f</w:t>
                      </w:r>
                      <w:r>
                        <w:rPr>
                          <w:rFonts w:ascii="Calibri"/>
                        </w:rPr>
                        <w:t>á</w:t>
                      </w:r>
                      <w:r>
                        <w:rPr>
                          <w:rFonts w:ascii="Calibri"/>
                        </w:rPr>
                        <w:t>cil acceso al nefr</w:t>
                      </w:r>
                      <w:r>
                        <w:rPr>
                          <w:rFonts w:ascii="Calibri"/>
                        </w:rPr>
                        <w:t>ó</w:t>
                      </w:r>
                      <w:r>
                        <w:rPr>
                          <w:rFonts w:ascii="Calibri"/>
                        </w:rPr>
                        <w:t>logo principal (por ejemplo, correo electr</w:t>
                      </w:r>
                      <w:r>
                        <w:rPr>
                          <w:rFonts w:ascii="Calibri"/>
                        </w:rPr>
                        <w:t>ó</w:t>
                      </w:r>
                      <w:r>
                        <w:rPr>
                          <w:rFonts w:ascii="Calibri"/>
                        </w:rPr>
                        <w:t>nico, tel</w:t>
                      </w:r>
                      <w:r>
                        <w:rPr>
                          <w:rFonts w:ascii="Calibri"/>
                        </w:rPr>
                        <w:t>é</w:t>
                      </w:r>
                      <w:r>
                        <w:rPr>
                          <w:rFonts w:ascii="Calibri"/>
                        </w:rPr>
                        <w:t>fono celular, etc.).</w:t>
                      </w:r>
                    </w:p>
                    <w:p w14:paraId="337F6349" w14:textId="77777777" w:rsidR="00CD2DA1" w:rsidRDefault="00822DC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4"/>
                        </w:tabs>
                        <w:spacing w:line="259" w:lineRule="auto"/>
                        <w:ind w:right="34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Pr</w:t>
                      </w:r>
                      <w:r>
                        <w:rPr>
                          <w:rFonts w:ascii="Calibri"/>
                        </w:rPr>
                        <w:t>á</w:t>
                      </w:r>
                      <w:r>
                        <w:rPr>
                          <w:rFonts w:ascii="Calibri"/>
                        </w:rPr>
                        <w:t>cticas dentro del alcance de problemas relacionados con el estado de la enfermedad que califican al paciente para el en</w:t>
                      </w:r>
                      <w:r>
                        <w:rPr>
                          <w:rFonts w:ascii="Calibri"/>
                        </w:rPr>
                        <w:t>sayo y problemas de nefrolog</w:t>
                      </w:r>
                      <w:r>
                        <w:rPr>
                          <w:rFonts w:ascii="Calibri"/>
                        </w:rPr>
                        <w:t>í</w:t>
                      </w:r>
                      <w:r>
                        <w:rPr>
                          <w:rFonts w:ascii="Calibri"/>
                        </w:rPr>
                        <w:t>a relacionados con el ensayo.</w:t>
                      </w:r>
                    </w:p>
                    <w:p w14:paraId="3910BFF0" w14:textId="77777777" w:rsidR="00CD2DA1" w:rsidRDefault="00822DC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4"/>
                        </w:tabs>
                        <w:spacing w:line="259" w:lineRule="auto"/>
                        <w:ind w:right="41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Alienta a los pacientes a realizar un seguimiento con su NP, que continuar</w:t>
                      </w:r>
                      <w:r>
                        <w:rPr>
                          <w:rFonts w:ascii="Calibri"/>
                        </w:rPr>
                        <w:t>á</w:t>
                      </w:r>
                      <w:r>
                        <w:rPr>
                          <w:rFonts w:ascii="Calibri"/>
                        </w:rPr>
                        <w:t xml:space="preserve"> manejando los problemas de nefrolog</w:t>
                      </w:r>
                      <w:r>
                        <w:rPr>
                          <w:rFonts w:ascii="Calibri"/>
                        </w:rPr>
                        <w:t>í</w:t>
                      </w:r>
                      <w:r>
                        <w:rPr>
                          <w:rFonts w:ascii="Calibri"/>
                        </w:rPr>
                        <w:t>a general fuera del alcance del estudio.</w:t>
                      </w:r>
                    </w:p>
                    <w:p w14:paraId="52A01A8D" w14:textId="77777777" w:rsidR="00CD2DA1" w:rsidRDefault="00822DC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4"/>
                        </w:tabs>
                        <w:spacing w:line="259" w:lineRule="auto"/>
                        <w:ind w:right="108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Devuelve al paciente al nefr</w:t>
                      </w:r>
                      <w:r>
                        <w:rPr>
                          <w:rFonts w:ascii="Calibri"/>
                        </w:rPr>
                        <w:t>ó</w:t>
                      </w:r>
                      <w:r>
                        <w:rPr>
                          <w:rFonts w:ascii="Calibri"/>
                        </w:rPr>
                        <w:t xml:space="preserve">logo principal </w:t>
                      </w:r>
                      <w:r>
                        <w:rPr>
                          <w:rFonts w:ascii="Calibri"/>
                        </w:rPr>
                        <w:t>al finalizar el estudio o al alcanzar un punto final de participaci</w:t>
                      </w:r>
                      <w:r>
                        <w:rPr>
                          <w:rFonts w:ascii="Calibri"/>
                        </w:rPr>
                        <w:t>ó</w:t>
                      </w:r>
                      <w:r>
                        <w:rPr>
                          <w:rFonts w:ascii="Calibri"/>
                        </w:rPr>
                        <w:t>n-finalizaci</w:t>
                      </w:r>
                      <w:r>
                        <w:rPr>
                          <w:rFonts w:ascii="Calibri"/>
                        </w:rPr>
                        <w:t>ó</w:t>
                      </w:r>
                      <w:r>
                        <w:rPr>
                          <w:rFonts w:ascii="Calibri"/>
                        </w:rPr>
                        <w:t>n (ESRD).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E3B915B" w14:textId="77777777" w:rsidR="00CD2DA1" w:rsidRDefault="00CD2DA1">
      <w:pPr>
        <w:spacing w:before="10"/>
        <w:rPr>
          <w:rFonts w:ascii="Calibri" w:eastAsia="Calibri" w:hAnsi="Calibri" w:cs="Calibri"/>
          <w:i/>
          <w:sz w:val="23"/>
          <w:szCs w:val="23"/>
        </w:rPr>
      </w:pPr>
    </w:p>
    <w:p w14:paraId="3E442568" w14:textId="77777777" w:rsidR="00CD2DA1" w:rsidRDefault="00822DCE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pict w14:anchorId="170F9C9C">
          <v:group id="_x0000_s1026" style="width:481.1pt;height:63.95pt;mso-position-horizontal-relative:char;mso-position-vertical-relative:line" coordsize="9622,1279">
            <v:group id="_x0000_s1041" style="position:absolute;left:12;top:6;width:9598;height:2" coordorigin="12,6" coordsize="9598,2">
              <v:shape id="_x0000_s1042" style="position:absolute;left:12;top:6;width:9598;height:2" coordorigin="12,6" coordsize="9598,0" path="m12,6r9597,e" filled="f" strokeweight=".20497mm">
                <v:path arrowok="t"/>
              </v:shape>
            </v:group>
            <v:group id="_x0000_s1039" style="position:absolute;left:12;top:349;width:9598;height:2" coordorigin="12,349" coordsize="9598,2">
              <v:shape id="_x0000_s1040" style="position:absolute;left:12;top:349;width:9598;height:2" coordorigin="12,349" coordsize="9598,0" path="m12,349r9597,e" filled="f" strokeweight="1.18pt">
                <v:path arrowok="t"/>
              </v:shape>
            </v:group>
            <v:group id="_x0000_s1037" style="position:absolute;left:17;top:11;width:2;height:328" coordorigin="17,11" coordsize="2,328">
              <v:shape id="_x0000_s1038" style="position:absolute;left:17;top:11;width:2;height:328" coordorigin="17,11" coordsize="0,328" path="m17,11r,327e" filled="f" strokeweight=".58pt">
                <v:path arrowok="t"/>
              </v:shape>
            </v:group>
            <v:group id="_x0000_s1035" style="position:absolute;left:9605;top:11;width:2;height:1258" coordorigin="9605,11" coordsize="2,1258">
              <v:shape id="_x0000_s1036" style="position:absolute;left:9605;top:11;width:2;height:1258" coordorigin="9605,11" coordsize="0,1258" path="m9605,11r,1257e" filled="f" strokeweight=".58pt">
                <v:path arrowok="t"/>
              </v:shape>
            </v:group>
            <v:group id="_x0000_s1033" style="position:absolute;left:111;top:355;width:9489;height:2" coordorigin="111,355" coordsize="9489,2">
              <v:shape id="_x0000_s1034" style="position:absolute;left:111;top:355;width:9489;height:2" coordorigin="111,355" coordsize="9489,0" path="m111,355r9489,e" filled="f" strokeweight=".20497mm">
                <v:path arrowok="t"/>
              </v:shape>
            </v:group>
            <v:group id="_x0000_s1031" style="position:absolute;left:116;top:360;width:2;height:909" coordorigin="116,360" coordsize="2,909">
              <v:shape id="_x0000_s1032" style="position:absolute;left:116;top:360;width:2;height:909" coordorigin="116,360" coordsize="0,909" path="m116,360r,908e" filled="f" strokeweight=".20497mm">
                <v:path arrowok="t"/>
              </v:shape>
            </v:group>
            <v:group id="_x0000_s1027" style="position:absolute;left:111;top:1273;width:9498;height:2" coordorigin="111,1273" coordsize="9498,2">
              <v:shape id="_x0000_s1030" style="position:absolute;left:111;top:1273;width:9498;height:2" coordorigin="111,1273" coordsize="9498,0" path="m111,1273r9498,e" filled="f" strokeweight=".20497mm">
                <v:path arrowok="t"/>
              </v:shape>
              <v:shape id="_x0000_s1029" type="#_x0000_t202" style="position:absolute;left:17;top:6;width:9588;height:344" filled="f" stroked="f">
                <v:textbox inset="0,0,0,0">
                  <w:txbxContent>
                    <w:p w14:paraId="7ABAEE8B" w14:textId="77777777" w:rsidR="00CD2DA1" w:rsidRDefault="00822DCE">
                      <w:pPr>
                        <w:spacing w:before="24"/>
                        <w:ind w:left="11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Paciente</w:t>
                      </w:r>
                    </w:p>
                  </w:txbxContent>
                </v:textbox>
              </v:shape>
              <v:shape id="_x0000_s1028" type="#_x0000_t202" style="position:absolute;left:116;top:349;width:9489;height:924" filled="f" stroked="f">
                <v:textbox inset="0,0,0,0">
                  <w:txbxContent>
                    <w:p w14:paraId="68CF8FF4" w14:textId="77777777" w:rsidR="00CD2DA1" w:rsidRDefault="00822DC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4"/>
                        </w:tabs>
                        <w:spacing w:before="30"/>
                        <w:ind w:hanging="4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Acepta cumplir con todas las citas con el nefr</w:t>
                      </w:r>
                      <w:r>
                        <w:rPr>
                          <w:rFonts w:ascii="Calibri"/>
                        </w:rPr>
                        <w:t>ó</w:t>
                      </w:r>
                      <w:r>
                        <w:rPr>
                          <w:rFonts w:ascii="Calibri"/>
                        </w:rPr>
                        <w:t>logo principal.</w:t>
                      </w:r>
                    </w:p>
                    <w:p w14:paraId="7DD2675E" w14:textId="77777777" w:rsidR="00CD2DA1" w:rsidRDefault="00822DC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4"/>
                        </w:tabs>
                        <w:spacing w:before="22"/>
                        <w:ind w:hanging="4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 xml:space="preserve">Acuerda </w:t>
                      </w:r>
                      <w:r>
                        <w:rPr>
                          <w:rFonts w:ascii="Calibri"/>
                        </w:rPr>
                        <w:t>compartir informaci</w:t>
                      </w:r>
                      <w:r>
                        <w:rPr>
                          <w:rFonts w:ascii="Calibri"/>
                        </w:rPr>
                        <w:t>ó</w:t>
                      </w:r>
                      <w:r>
                        <w:rPr>
                          <w:rFonts w:ascii="Calibri"/>
                        </w:rPr>
                        <w:t>n activamente con el NP y el CTN.</w:t>
                      </w:r>
                    </w:p>
                    <w:p w14:paraId="0BD4784A" w14:textId="77777777" w:rsidR="00CD2DA1" w:rsidRDefault="00822DC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4"/>
                        </w:tabs>
                        <w:spacing w:before="22"/>
                        <w:ind w:hanging="4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Acepta los t</w:t>
                      </w:r>
                      <w:r>
                        <w:rPr>
                          <w:rFonts w:ascii="Calibri"/>
                        </w:rPr>
                        <w:t>é</w:t>
                      </w:r>
                      <w:r>
                        <w:rPr>
                          <w:rFonts w:ascii="Calibri"/>
                        </w:rPr>
                        <w:t>rminos de participaci</w:t>
                      </w:r>
                      <w:r>
                        <w:rPr>
                          <w:rFonts w:ascii="Calibri"/>
                        </w:rPr>
                        <w:t>ó</w:t>
                      </w:r>
                      <w:r>
                        <w:rPr>
                          <w:rFonts w:ascii="Calibri"/>
                        </w:rPr>
                        <w:t>n en ensayos cl</w:t>
                      </w:r>
                      <w:r>
                        <w:rPr>
                          <w:rFonts w:ascii="Calibri"/>
                        </w:rPr>
                        <w:t>í</w:t>
                      </w:r>
                      <w:r>
                        <w:rPr>
                          <w:rFonts w:ascii="Calibri"/>
                        </w:rPr>
                        <w:t>nicos.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CD2DA1">
      <w:type w:val="continuous"/>
      <w:pgSz w:w="12240" w:h="15840"/>
      <w:pgMar w:top="14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4552"/>
    <w:multiLevelType w:val="hybridMultilevel"/>
    <w:tmpl w:val="154A2724"/>
    <w:lvl w:ilvl="0" w:tplc="D3AE410C">
      <w:start w:val="1"/>
      <w:numFmt w:val="bullet"/>
      <w:lvlText w:val="-"/>
      <w:lvlJc w:val="left"/>
      <w:pPr>
        <w:ind w:left="474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C7DE1D74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5E02E9D6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41E8E940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EFBC88D0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5" w:tplc="0BE2205C">
      <w:start w:val="1"/>
      <w:numFmt w:val="bullet"/>
      <w:lvlText w:val="•"/>
      <w:lvlJc w:val="left"/>
      <w:pPr>
        <w:ind w:left="4981" w:hanging="360"/>
      </w:pPr>
      <w:rPr>
        <w:rFonts w:hint="default"/>
      </w:rPr>
    </w:lvl>
    <w:lvl w:ilvl="6" w:tplc="DB667304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E850F1FE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65086C52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1" w15:restartNumberingAfterBreak="0">
    <w:nsid w:val="0FFE3C08"/>
    <w:multiLevelType w:val="hybridMultilevel"/>
    <w:tmpl w:val="7CBCBD6E"/>
    <w:lvl w:ilvl="0" w:tplc="DE0E6810">
      <w:start w:val="1"/>
      <w:numFmt w:val="bullet"/>
      <w:lvlText w:val="-"/>
      <w:lvlJc w:val="left"/>
      <w:pPr>
        <w:ind w:left="474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A83445BC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9F3AEE50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08C4C6A4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3AC2A6FE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5" w:tplc="E294C266">
      <w:start w:val="1"/>
      <w:numFmt w:val="bullet"/>
      <w:lvlText w:val="•"/>
      <w:lvlJc w:val="left"/>
      <w:pPr>
        <w:ind w:left="4981" w:hanging="360"/>
      </w:pPr>
      <w:rPr>
        <w:rFonts w:hint="default"/>
      </w:rPr>
    </w:lvl>
    <w:lvl w:ilvl="6" w:tplc="6AEC7F2A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CE84543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32509D6E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2" w15:restartNumberingAfterBreak="0">
    <w:nsid w:val="7A2A5EB2"/>
    <w:multiLevelType w:val="hybridMultilevel"/>
    <w:tmpl w:val="457E455A"/>
    <w:lvl w:ilvl="0" w:tplc="05C24004">
      <w:start w:val="1"/>
      <w:numFmt w:val="bullet"/>
      <w:lvlText w:val="-"/>
      <w:lvlJc w:val="left"/>
      <w:pPr>
        <w:ind w:left="523" w:hanging="41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561CCCEA">
      <w:start w:val="1"/>
      <w:numFmt w:val="bullet"/>
      <w:lvlText w:val="•"/>
      <w:lvlJc w:val="left"/>
      <w:pPr>
        <w:ind w:left="1419" w:hanging="410"/>
      </w:pPr>
      <w:rPr>
        <w:rFonts w:hint="default"/>
      </w:rPr>
    </w:lvl>
    <w:lvl w:ilvl="2" w:tplc="A5D43FAA">
      <w:start w:val="1"/>
      <w:numFmt w:val="bullet"/>
      <w:lvlText w:val="•"/>
      <w:lvlJc w:val="left"/>
      <w:pPr>
        <w:ind w:left="2316" w:hanging="410"/>
      </w:pPr>
      <w:rPr>
        <w:rFonts w:hint="default"/>
      </w:rPr>
    </w:lvl>
    <w:lvl w:ilvl="3" w:tplc="E7E26B14">
      <w:start w:val="1"/>
      <w:numFmt w:val="bullet"/>
      <w:lvlText w:val="•"/>
      <w:lvlJc w:val="left"/>
      <w:pPr>
        <w:ind w:left="3212" w:hanging="410"/>
      </w:pPr>
      <w:rPr>
        <w:rFonts w:hint="default"/>
      </w:rPr>
    </w:lvl>
    <w:lvl w:ilvl="4" w:tplc="7868B5EA">
      <w:start w:val="1"/>
      <w:numFmt w:val="bullet"/>
      <w:lvlText w:val="•"/>
      <w:lvlJc w:val="left"/>
      <w:pPr>
        <w:ind w:left="4109" w:hanging="410"/>
      </w:pPr>
      <w:rPr>
        <w:rFonts w:hint="default"/>
      </w:rPr>
    </w:lvl>
    <w:lvl w:ilvl="5" w:tplc="60227F88">
      <w:start w:val="1"/>
      <w:numFmt w:val="bullet"/>
      <w:lvlText w:val="•"/>
      <w:lvlJc w:val="left"/>
      <w:pPr>
        <w:ind w:left="5005" w:hanging="410"/>
      </w:pPr>
      <w:rPr>
        <w:rFonts w:hint="default"/>
      </w:rPr>
    </w:lvl>
    <w:lvl w:ilvl="6" w:tplc="E0D61AA0">
      <w:start w:val="1"/>
      <w:numFmt w:val="bullet"/>
      <w:lvlText w:val="•"/>
      <w:lvlJc w:val="left"/>
      <w:pPr>
        <w:ind w:left="5902" w:hanging="410"/>
      </w:pPr>
      <w:rPr>
        <w:rFonts w:hint="default"/>
      </w:rPr>
    </w:lvl>
    <w:lvl w:ilvl="7" w:tplc="CC3EFA2C">
      <w:start w:val="1"/>
      <w:numFmt w:val="bullet"/>
      <w:lvlText w:val="•"/>
      <w:lvlJc w:val="left"/>
      <w:pPr>
        <w:ind w:left="6798" w:hanging="410"/>
      </w:pPr>
      <w:rPr>
        <w:rFonts w:hint="default"/>
      </w:rPr>
    </w:lvl>
    <w:lvl w:ilvl="8" w:tplc="F4E6B278">
      <w:start w:val="1"/>
      <w:numFmt w:val="bullet"/>
      <w:lvlText w:val="•"/>
      <w:lvlJc w:val="left"/>
      <w:pPr>
        <w:ind w:left="7695" w:hanging="41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DA1"/>
    <w:rsid w:val="00822DCE"/>
    <w:rsid w:val="00C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75B5B3AB"/>
  <w15:docId w15:val="{F420538A-2B9F-4684-9170-6829AF3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98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JTarnoff</dc:creator>
  <cp:lastModifiedBy>Rebecca Cook</cp:lastModifiedBy>
  <cp:revision>2</cp:revision>
  <dcterms:created xsi:type="dcterms:W3CDTF">2021-06-03T21:23:00Z</dcterms:created>
  <dcterms:modified xsi:type="dcterms:W3CDTF">2021-06-03T21:23:00Z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2021-03-31T00:00:00Z</vt:filetime>
  </property>
</Properties>
</file>